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4AA" w:rsidRDefault="009944AA" w:rsidP="009944AA">
      <w:pPr>
        <w:pStyle w:val="Titolo3"/>
        <w:rPr>
          <w:color w:val="1C2024"/>
        </w:rPr>
      </w:pPr>
      <w:r>
        <w:rPr>
          <w:color w:val="1C2024"/>
        </w:rPr>
        <w:t>Calendario vaccinale</w:t>
      </w:r>
    </w:p>
    <w:p w:rsidR="009944AA" w:rsidRDefault="009944AA" w:rsidP="009944AA">
      <w:pPr>
        <w:rPr>
          <w:rFonts w:ascii="Titillium Web" w:hAnsi="Titillium Web"/>
          <w:color w:val="1C2024"/>
          <w:sz w:val="27"/>
          <w:szCs w:val="27"/>
        </w:rPr>
      </w:pPr>
      <w:r>
        <w:rPr>
          <w:rFonts w:ascii="Titillium Web" w:hAnsi="Titillium Web"/>
          <w:noProof/>
          <w:color w:val="1C2024"/>
          <w:sz w:val="27"/>
          <w:szCs w:val="27"/>
          <w:lang w:eastAsia="it-IT"/>
        </w:rPr>
        <w:drawing>
          <wp:inline distT="0" distB="0" distL="0" distR="0">
            <wp:extent cx="5124450" cy="2562225"/>
            <wp:effectExtent l="0" t="0" r="0" b="9525"/>
            <wp:docPr id="1" name="Immagine 1" descr="Calendario vaccin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endario vaccina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4AA" w:rsidRDefault="009944AA" w:rsidP="009944AA">
      <w:pPr>
        <w:pStyle w:val="NormaleWeb"/>
        <w:rPr>
          <w:rFonts w:ascii="Titillium Web" w:hAnsi="Titillium Web"/>
          <w:color w:val="1C2024"/>
        </w:rPr>
      </w:pPr>
    </w:p>
    <w:p w:rsidR="009944AA" w:rsidRDefault="009944AA" w:rsidP="009944AA">
      <w:pPr>
        <w:pStyle w:val="NormaleWeb"/>
        <w:rPr>
          <w:rFonts w:ascii="Titillium Web" w:hAnsi="Titillium Web"/>
          <w:color w:val="1C2024"/>
        </w:rPr>
      </w:pPr>
      <w:r>
        <w:rPr>
          <w:rFonts w:ascii="Titillium Web" w:hAnsi="Titillium Web"/>
          <w:color w:val="1C2024"/>
        </w:rPr>
        <w:t>Il Calendario vaccinale, incluso nel Piano Nazionale Prevenzione Vaccinale (</w:t>
      </w:r>
      <w:hyperlink r:id="rId6" w:tooltip="apre portale della normativa sanitaria" w:history="1">
        <w:r>
          <w:rPr>
            <w:rStyle w:val="Collegamentoipertestuale"/>
            <w:rFonts w:ascii="Titillium Web" w:hAnsi="Titillium Web"/>
          </w:rPr>
          <w:t>PNPV</w:t>
        </w:r>
      </w:hyperlink>
      <w:r>
        <w:rPr>
          <w:rFonts w:ascii="Titillium Web" w:hAnsi="Titillium Web"/>
          <w:color w:val="1C2024"/>
        </w:rPr>
        <w:t>) 2017-2019, approvato in Conferenza Stato-Regioni con Intesa del 19 gennaio 2017, è stato inserito nel DPCM sui Livelli essenziali di assistenza (</w:t>
      </w:r>
      <w:hyperlink r:id="rId7" w:history="1">
        <w:r>
          <w:rPr>
            <w:rStyle w:val="Collegamentoipertestuale"/>
            <w:rFonts w:ascii="Titillium Web" w:hAnsi="Titillium Web"/>
          </w:rPr>
          <w:t>LEA</w:t>
        </w:r>
      </w:hyperlink>
      <w:r>
        <w:rPr>
          <w:rFonts w:ascii="Titillium Web" w:hAnsi="Titillium Web"/>
          <w:color w:val="1C2024"/>
        </w:rPr>
        <w:t>).</w:t>
      </w:r>
    </w:p>
    <w:p w:rsidR="009944AA" w:rsidRDefault="009944AA" w:rsidP="009944AA">
      <w:pPr>
        <w:pStyle w:val="NormaleWeb"/>
        <w:rPr>
          <w:rFonts w:ascii="Titillium Web" w:hAnsi="Titillium Web"/>
          <w:color w:val="1C2024"/>
        </w:rPr>
      </w:pPr>
      <w:r>
        <w:rPr>
          <w:rFonts w:ascii="Titillium Web" w:hAnsi="Titillium Web"/>
          <w:color w:val="1C2024"/>
        </w:rPr>
        <w:t>Sono offerte gratuitamente e attivamente dal Servizio sanitario nazionale (SSN) le seguenti vaccinazioni, per alcune delle quali è previsto anche l’obbligo per specifici anni di nascita:</w:t>
      </w:r>
    </w:p>
    <w:p w:rsidR="009944AA" w:rsidRDefault="009944AA" w:rsidP="009944AA">
      <w:pPr>
        <w:spacing w:before="188" w:after="188" w:line="420" w:lineRule="atLeast"/>
        <w:outlineLvl w:val="3"/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</w:pPr>
      <w:bookmarkStart w:id="0" w:name="_GoBack"/>
      <w:bookmarkEnd w:id="0"/>
    </w:p>
    <w:p w:rsidR="009944AA" w:rsidRPr="009944AA" w:rsidRDefault="009944AA" w:rsidP="009944AA">
      <w:pPr>
        <w:spacing w:before="188" w:after="188" w:line="420" w:lineRule="atLeast"/>
        <w:outlineLvl w:val="3"/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</w:pPr>
      <w:r w:rsidRPr="009944AA"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  <w:t>Bambini da zero a 6 anni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Anti-difterica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ciclo di base 3 dosi nel primo anno di vita e richiamo a 6 anni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Anti-poliomielite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ciclo di base 3 dosi nel primo anno di vita e richiamo a 6 anni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Anti-tetanica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ciclo di base 3 dosi nel primo anno di vita e richiamo a 6 anni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Anti-epatite virale B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3 dosi nel primo anno di vita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Anti-pertosse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ciclo di base 3 dosi nel primo anno di vita e richiamo a 6 anni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</w:t>
      </w:r>
      <w:proofErr w:type="spellStart"/>
      <w:r w:rsidRPr="009944AA">
        <w:rPr>
          <w:rFonts w:ascii="Titillium Web" w:eastAsia="Times New Roman" w:hAnsi="Titillium Web" w:cs="Times New Roman"/>
          <w:b/>
          <w:bCs/>
          <w:i/>
          <w:iCs/>
          <w:color w:val="1C2024"/>
          <w:sz w:val="27"/>
          <w:szCs w:val="27"/>
          <w:lang w:eastAsia="it-IT"/>
        </w:rPr>
        <w:t>Haemophilus</w:t>
      </w:r>
      <w:proofErr w:type="spellEnd"/>
      <w:r w:rsidRPr="009944AA">
        <w:rPr>
          <w:rFonts w:ascii="Titillium Web" w:eastAsia="Times New Roman" w:hAnsi="Titillium Web" w:cs="Times New Roman"/>
          <w:b/>
          <w:bCs/>
          <w:i/>
          <w:iCs/>
          <w:color w:val="1C2024"/>
          <w:sz w:val="27"/>
          <w:szCs w:val="27"/>
          <w:lang w:eastAsia="it-IT"/>
        </w:rPr>
        <w:t xml:space="preserve"> </w:t>
      </w:r>
      <w:proofErr w:type="spellStart"/>
      <w:r w:rsidRPr="009944AA">
        <w:rPr>
          <w:rFonts w:ascii="Titillium Web" w:eastAsia="Times New Roman" w:hAnsi="Titillium Web" w:cs="Times New Roman"/>
          <w:b/>
          <w:bCs/>
          <w:i/>
          <w:iCs/>
          <w:color w:val="1C2024"/>
          <w:sz w:val="27"/>
          <w:szCs w:val="27"/>
          <w:lang w:eastAsia="it-IT"/>
        </w:rPr>
        <w:t>influenzae</w:t>
      </w:r>
      <w:proofErr w:type="spellEnd"/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 xml:space="preserve"> tipo b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3 dosi nel primo anno di vita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Anti-meningococcica B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3 o 4 dosi nel primo anno di vita, a seconda del mese di somministrazione della prima dose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</w:t>
      </w:r>
      <w:proofErr w:type="spellStart"/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rotavirus</w:t>
      </w:r>
      <w:proofErr w:type="spell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2 o 3 dosi nel primo anno di vita, a seconda del tipo di vaccino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Anti-pneumococcica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3 dosi nel primo anno di vita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Anti-meningococcica C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1° dose nel secondo anno di vita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Anti-varicella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1° dose nel secondo anno di vita e 2° dose a 6 anni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Anti-morbillo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1° dose nel secondo anno di vita e 2° dose a 6 anni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Anti-parotite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1° dose nel secondo anno di vita e 2° dose a 6 anni</w:t>
      </w:r>
    </w:p>
    <w:p w:rsidR="009944AA" w:rsidRPr="009944AA" w:rsidRDefault="009944AA" w:rsidP="009944A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Anti-rosolia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1° dose nel secondo anno di vita e 2° dose a 6 anni</w:t>
      </w:r>
    </w:p>
    <w:p w:rsidR="009944AA" w:rsidRPr="009944AA" w:rsidRDefault="009944AA" w:rsidP="009944AA">
      <w:pPr>
        <w:spacing w:before="188" w:after="188" w:line="420" w:lineRule="atLeast"/>
        <w:outlineLvl w:val="3"/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</w:pPr>
      <w:r w:rsidRPr="009944AA"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  <w:t>Adolescenti</w:t>
      </w:r>
    </w:p>
    <w:p w:rsidR="009944AA" w:rsidRPr="009944AA" w:rsidRDefault="009944AA" w:rsidP="009944A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lastRenderedPageBreak/>
        <w:t>Anti-difterica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richiamo (obbligatoria per i nati dal 2001</w:t>
      </w:r>
    </w:p>
    <w:p w:rsidR="009944AA" w:rsidRPr="009944AA" w:rsidRDefault="009944AA" w:rsidP="009944A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Anti-poliomielite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richiamo (obbligatoria per i nati dal 2001)</w:t>
      </w:r>
    </w:p>
    <w:p w:rsidR="009944AA" w:rsidRPr="009944AA" w:rsidRDefault="009944AA" w:rsidP="009944A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Anti-tetanica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richiamo (obbligatoria per i nati dal 2001)</w:t>
      </w:r>
    </w:p>
    <w:p w:rsidR="009944AA" w:rsidRPr="009944AA" w:rsidRDefault="009944AA" w:rsidP="009944A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Anti-pertosse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: richiamo (obbligatoria per i nati dal 2001)</w:t>
      </w:r>
    </w:p>
    <w:p w:rsidR="009944AA" w:rsidRPr="009944AA" w:rsidRDefault="009944AA" w:rsidP="009944A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Anti-HPV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 xml:space="preserve"> per le ragazze e i ragazzi (2 dosi nel corso del 12° anno di vita)</w:t>
      </w:r>
    </w:p>
    <w:p w:rsidR="009944AA" w:rsidRPr="009944AA" w:rsidRDefault="009944AA" w:rsidP="009944A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Anti-meningococcica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 xml:space="preserve"> tetravalente ACWY135 (1 dose)</w:t>
      </w:r>
    </w:p>
    <w:p w:rsidR="009944AA" w:rsidRPr="009944AA" w:rsidRDefault="009944AA" w:rsidP="009944AA">
      <w:pPr>
        <w:spacing w:before="188" w:after="188" w:line="420" w:lineRule="atLeast"/>
        <w:outlineLvl w:val="3"/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</w:pPr>
      <w:r w:rsidRPr="009944AA"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  <w:t>Adulti</w:t>
      </w:r>
    </w:p>
    <w:p w:rsidR="009944AA" w:rsidRPr="009944AA" w:rsidRDefault="009944AA" w:rsidP="009944AA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Anti-pneumococcica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 xml:space="preserve"> nei 65enni</w:t>
      </w:r>
    </w:p>
    <w:p w:rsidR="009944AA" w:rsidRPr="009944AA" w:rsidRDefault="009944AA" w:rsidP="009944AA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Anti-zoster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 xml:space="preserve"> nei 65enni</w:t>
      </w:r>
    </w:p>
    <w:p w:rsidR="009944AA" w:rsidRPr="009944AA" w:rsidRDefault="009944AA" w:rsidP="009944AA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b/>
          <w:bCs/>
          <w:color w:val="1C2024"/>
          <w:sz w:val="27"/>
          <w:szCs w:val="27"/>
          <w:lang w:eastAsia="it-IT"/>
        </w:rPr>
        <w:t>Anti-influenzale</w:t>
      </w: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 xml:space="preserve"> per tutte le persone oltre i 64 anni.</w:t>
      </w:r>
    </w:p>
    <w:p w:rsidR="009944AA" w:rsidRPr="009944AA" w:rsidRDefault="009944AA" w:rsidP="009944AA">
      <w:pPr>
        <w:spacing w:before="188" w:after="188" w:line="420" w:lineRule="atLeast"/>
        <w:outlineLvl w:val="3"/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</w:pPr>
      <w:r w:rsidRPr="009944AA"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  <w:t>Categorie a rischio</w:t>
      </w:r>
    </w:p>
    <w:p w:rsidR="009944AA" w:rsidRPr="009944AA" w:rsidRDefault="009944AA" w:rsidP="009944AA">
      <w:pPr>
        <w:spacing w:after="188" w:line="240" w:lineRule="auto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Il PNPV 2017-2019 prevede anche l’offerta a diverse categorie di persone sulla base dell'esistenza di determinate condizioni di rischio.</w:t>
      </w:r>
    </w:p>
    <w:p w:rsidR="009944AA" w:rsidRPr="009944AA" w:rsidRDefault="009944AA" w:rsidP="009944AA">
      <w:pPr>
        <w:spacing w:after="188" w:line="240" w:lineRule="auto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 </w:t>
      </w:r>
    </w:p>
    <w:p w:rsidR="009944AA" w:rsidRPr="009944AA" w:rsidRDefault="009944AA" w:rsidP="009944AA">
      <w:pPr>
        <w:spacing w:before="188" w:after="188" w:line="420" w:lineRule="atLeast"/>
        <w:outlineLvl w:val="3"/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</w:pPr>
      <w:r w:rsidRPr="009944AA">
        <w:rPr>
          <w:rFonts w:ascii="inherit" w:eastAsia="Times New Roman" w:hAnsi="inherit" w:cs="Times New Roman"/>
          <w:b/>
          <w:bCs/>
          <w:color w:val="1C2024"/>
          <w:sz w:val="36"/>
          <w:szCs w:val="36"/>
          <w:lang w:eastAsia="it-IT"/>
        </w:rPr>
        <w:t>Vaccinazioni obbligatorie da zero a 16 anni</w:t>
      </w:r>
    </w:p>
    <w:p w:rsidR="009944AA" w:rsidRPr="009944AA" w:rsidRDefault="009944AA" w:rsidP="009944AA">
      <w:pPr>
        <w:spacing w:after="188" w:line="240" w:lineRule="auto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La </w:t>
      </w:r>
      <w:hyperlink r:id="rId8" w:tooltip="apre nuova finestra portale trovanorme" w:history="1">
        <w:r w:rsidRPr="009944AA">
          <w:rPr>
            <w:rFonts w:ascii="Titillium Web" w:eastAsia="Times New Roman" w:hAnsi="Titillium Web" w:cs="Times New Roman"/>
            <w:color w:val="0066CC"/>
            <w:sz w:val="27"/>
            <w:szCs w:val="27"/>
            <w:lang w:eastAsia="it-IT"/>
          </w:rPr>
          <w:t>Legge 31 luglio 2017, n. 119</w:t>
        </w:r>
      </w:hyperlink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 "Conversione in legge, con modificazioni, del decreto-legge 7 giugno 2017, n. 73, recante disposizioni urgenti in materia di prevenzione vaccinale", pubblicata nella Gazzetta Ufficiale del 5 agosto 2017 insieme al </w:t>
      </w:r>
      <w:hyperlink r:id="rId9" w:tooltip="apre nuova finestra portale trovanorme" w:history="1">
        <w:r w:rsidRPr="009944AA">
          <w:rPr>
            <w:rFonts w:ascii="Titillium Web" w:eastAsia="Times New Roman" w:hAnsi="Titillium Web" w:cs="Times New Roman"/>
            <w:color w:val="0066CC"/>
            <w:sz w:val="27"/>
            <w:szCs w:val="27"/>
            <w:lang w:eastAsia="it-IT"/>
          </w:rPr>
          <w:t>testo coordinato</w:t>
        </w:r>
      </w:hyperlink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, ha aumentato il numero di vaccinazioni obbligatorie per i minori da zero a 16 anni, estendendole a 10: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-poliomielitica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-difterica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-tetanica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-epatite B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-pertosse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</w:t>
      </w:r>
      <w:proofErr w:type="spellStart"/>
      <w:r w:rsidRPr="009944AA">
        <w:rPr>
          <w:rFonts w:ascii="Titillium Web" w:eastAsia="Times New Roman" w:hAnsi="Titillium Web" w:cs="Times New Roman"/>
          <w:i/>
          <w:iCs/>
          <w:color w:val="1C2024"/>
          <w:sz w:val="27"/>
          <w:szCs w:val="27"/>
          <w:lang w:eastAsia="it-IT"/>
        </w:rPr>
        <w:t>Haemophilus</w:t>
      </w:r>
      <w:proofErr w:type="spellEnd"/>
      <w:r w:rsidRPr="009944AA">
        <w:rPr>
          <w:rFonts w:ascii="Titillium Web" w:eastAsia="Times New Roman" w:hAnsi="Titillium Web" w:cs="Times New Roman"/>
          <w:i/>
          <w:iCs/>
          <w:color w:val="1C2024"/>
          <w:sz w:val="27"/>
          <w:szCs w:val="27"/>
          <w:lang w:eastAsia="it-IT"/>
        </w:rPr>
        <w:t xml:space="preserve"> </w:t>
      </w:r>
      <w:proofErr w:type="spellStart"/>
      <w:r w:rsidRPr="009944AA">
        <w:rPr>
          <w:rFonts w:ascii="Titillium Web" w:eastAsia="Times New Roman" w:hAnsi="Titillium Web" w:cs="Times New Roman"/>
          <w:i/>
          <w:iCs/>
          <w:color w:val="1C2024"/>
          <w:sz w:val="27"/>
          <w:szCs w:val="27"/>
          <w:lang w:eastAsia="it-IT"/>
        </w:rPr>
        <w:t>influenzae</w:t>
      </w:r>
      <w:proofErr w:type="spell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 tipo b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-morbillo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-rosolia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-parotite</w:t>
      </w:r>
    </w:p>
    <w:p w:rsidR="009944AA" w:rsidRPr="009944AA" w:rsidRDefault="009944AA" w:rsidP="009944AA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</w:pPr>
      <w:proofErr w:type="gramStart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anti</w:t>
      </w:r>
      <w:proofErr w:type="gramEnd"/>
      <w:r w:rsidRPr="009944AA">
        <w:rPr>
          <w:rFonts w:ascii="Titillium Web" w:eastAsia="Times New Roman" w:hAnsi="Titillium Web" w:cs="Times New Roman"/>
          <w:color w:val="1C2024"/>
          <w:sz w:val="27"/>
          <w:szCs w:val="27"/>
          <w:lang w:eastAsia="it-IT"/>
        </w:rPr>
        <w:t>-varicella.</w:t>
      </w:r>
    </w:p>
    <w:p w:rsidR="002A0624" w:rsidRDefault="002A0624"/>
    <w:sectPr w:rsidR="002A06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tillium Web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1CAB"/>
    <w:multiLevelType w:val="multilevel"/>
    <w:tmpl w:val="1168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40650"/>
    <w:multiLevelType w:val="multilevel"/>
    <w:tmpl w:val="9B40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654CEA"/>
    <w:multiLevelType w:val="multilevel"/>
    <w:tmpl w:val="D41C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572931"/>
    <w:multiLevelType w:val="multilevel"/>
    <w:tmpl w:val="E20E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AA"/>
    <w:rsid w:val="002A0624"/>
    <w:rsid w:val="0099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76F79-DA27-4B95-AAD9-0A2536B4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4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9944AA"/>
    <w:pPr>
      <w:spacing w:before="188" w:after="188" w:line="420" w:lineRule="atLeast"/>
      <w:outlineLvl w:val="3"/>
    </w:pPr>
    <w:rPr>
      <w:rFonts w:ascii="inherit" w:eastAsia="Times New Roman" w:hAnsi="inherit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944AA"/>
    <w:rPr>
      <w:rFonts w:ascii="inherit" w:eastAsia="Times New Roman" w:hAnsi="inherit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944AA"/>
    <w:rPr>
      <w:strike w:val="0"/>
      <w:dstrike w:val="0"/>
      <w:color w:val="0066CC"/>
      <w:u w:val="none"/>
      <w:effect w:val="none"/>
      <w:shd w:val="clear" w:color="auto" w:fill="auto"/>
    </w:rPr>
  </w:style>
  <w:style w:type="paragraph" w:styleId="NormaleWeb">
    <w:name w:val="Normal (Web)"/>
    <w:basedOn w:val="Normale"/>
    <w:uiPriority w:val="99"/>
    <w:semiHidden/>
    <w:unhideWhenUsed/>
    <w:rsid w:val="009944AA"/>
    <w:pPr>
      <w:spacing w:after="188" w:line="240" w:lineRule="auto"/>
    </w:pPr>
    <w:rPr>
      <w:rFonts w:ascii="Times New Roman" w:eastAsia="Times New Roman" w:hAnsi="Times New Roman" w:cs="Times New Roman"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9944AA"/>
    <w:rPr>
      <w:b/>
      <w:bCs/>
    </w:rPr>
  </w:style>
  <w:style w:type="character" w:styleId="Enfasicorsivo">
    <w:name w:val="Emphasis"/>
    <w:basedOn w:val="Carpredefinitoparagrafo"/>
    <w:uiPriority w:val="20"/>
    <w:qFormat/>
    <w:rsid w:val="009944AA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4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1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17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4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196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ovanorme.salute.gov.it/norme/dettaglioAtto?id=602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lute.gov.it/portale/temi/p2_6.jsp?lingua=italiano&amp;id=1300&amp;area=programmazioneSanitariaLea&amp;menu=l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ovanorme.salute.gov.it/norme/dettaglioAtto?id=5818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rovanorme.salute.gov.it/norme/dettaglioAtto?id=6020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ferrajolo</dc:creator>
  <cp:keywords/>
  <dc:description/>
  <cp:lastModifiedBy>ferrajolo</cp:lastModifiedBy>
  <cp:revision>1</cp:revision>
  <dcterms:created xsi:type="dcterms:W3CDTF">2017-08-21T08:00:00Z</dcterms:created>
  <dcterms:modified xsi:type="dcterms:W3CDTF">2017-08-21T08:01:00Z</dcterms:modified>
</cp:coreProperties>
</file>